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Calibri" w:hAnsi="Calibri"/>
          <w:b/>
          <w:color w:val="17202A"/>
          <w:sz w:val="36"/>
        </w:rPr>
        <w:t>S2F / Sketch2Fly - Aceros Vargas</w:t>
      </w:r>
    </w:p>
    <w:p>
      <w:pPr>
        <w:spacing w:after="160"/>
      </w:pPr>
      <w:r>
        <w:rPr>
          <w:rFonts w:ascii="Calibri" w:hAnsi="Calibri"/>
          <w:b/>
          <w:color w:val="627180"/>
          <w:sz w:val="21"/>
        </w:rPr>
        <w:t>Primer acercamiento | Micro resumen ejecutivo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8E0E7"/>
          <w:left w:val="single" w:sz="4" w:space="0" w:color="D8E0E7"/>
          <w:bottom w:val="single" w:sz="4" w:space="0" w:color="D8E0E7"/>
          <w:right w:val="single" w:sz="4" w:space="0" w:color="D8E0E7"/>
          <w:insideH w:val="single" w:sz="4" w:space="0" w:color="D8E0E7"/>
          <w:insideV w:val="single" w:sz="4" w:space="0" w:color="D8E0E7"/>
        </w:tblBorders>
      </w:tblPr>
      <w:tblGrid>
        <w:gridCol w:w="5184"/>
        <w:gridCol w:w="5184"/>
      </w:tblGrid>
      <w:tr>
        <w:tc>
          <w:tcPr>
            <w:tcW w:type="dxa" w:w="5184"/>
            <w:shd w:fill="F4F6F8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202A"/>
                <w:sz w:val="18"/>
              </w:rPr>
              <w:t>Fecha</w:t>
            </w:r>
            <w:r>
              <w:br/>
            </w:r>
            <w:r>
              <w:rPr>
                <w:rFonts w:ascii="Calibri" w:hAnsi="Calibri"/>
                <w:color w:val="17202A"/>
                <w:sz w:val="18"/>
              </w:rPr>
              <w:t>8 de junio de 2026</w:t>
            </w:r>
          </w:p>
        </w:tc>
        <w:tc>
          <w:tcPr>
            <w:tcW w:type="dxa" w:w="5184"/>
            <w:shd w:fill="F4F6F8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202A"/>
                <w:sz w:val="18"/>
              </w:rPr>
              <w:t>Horario</w:t>
            </w:r>
            <w:r>
              <w:br/>
            </w:r>
            <w:r>
              <w:rPr>
                <w:rFonts w:ascii="Calibri" w:hAnsi="Calibri"/>
                <w:color w:val="17202A"/>
                <w:sz w:val="18"/>
              </w:rPr>
              <w:t>16:56 - 18:28</w:t>
            </w:r>
          </w:p>
        </w:tc>
      </w:tr>
      <w:tr>
        <w:tc>
          <w:tcPr>
            <w:tcW w:type="dxa" w:w="5184"/>
            <w:shd w:fill="F4F6F8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202A"/>
                <w:sz w:val="18"/>
              </w:rPr>
              <w:t>Duracion</w:t>
            </w:r>
            <w:r>
              <w:br/>
            </w:r>
            <w:r>
              <w:rPr>
                <w:rFonts w:ascii="Calibri" w:hAnsi="Calibri"/>
                <w:color w:val="17202A"/>
                <w:sz w:val="18"/>
              </w:rPr>
              <w:t>1h 31m 49s</w:t>
            </w:r>
          </w:p>
        </w:tc>
        <w:tc>
          <w:tcPr>
            <w:tcW w:type="dxa" w:w="5184"/>
            <w:shd w:fill="F4F6F8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202A"/>
                <w:sz w:val="18"/>
              </w:rPr>
              <w:t>Asistencia</w:t>
            </w:r>
            <w:r>
              <w:br/>
            </w:r>
            <w:r>
              <w:rPr>
                <w:rFonts w:ascii="Calibri" w:hAnsi="Calibri"/>
                <w:color w:val="17202A"/>
                <w:sz w:val="18"/>
              </w:rPr>
              <w:t>6 participantes</w:t>
            </w:r>
          </w:p>
        </w:tc>
      </w:tr>
      <w:tr>
        <w:tc>
          <w:tcPr>
            <w:tcW w:type="dxa" w:w="5184"/>
            <w:shd w:fill="F4F6F8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202A"/>
                <w:sz w:val="18"/>
              </w:rPr>
              <w:t>Reunion</w:t>
            </w:r>
            <w:r>
              <w:br/>
            </w:r>
            <w:r>
              <w:rPr>
                <w:rFonts w:ascii="Calibri" w:hAnsi="Calibri"/>
                <w:color w:val="17202A"/>
                <w:sz w:val="18"/>
              </w:rPr>
              <w:t>Presentacion S2F</w:t>
            </w:r>
          </w:p>
        </w:tc>
        <w:tc>
          <w:tcPr>
            <w:tcW w:type="dxa" w:w="5184"/>
            <w:shd w:fill="F4F6F8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202A"/>
                <w:sz w:val="18"/>
              </w:rPr>
              <w:t>Contraparte</w:t>
            </w:r>
            <w:r>
              <w:br/>
            </w:r>
            <w:r>
              <w:rPr>
                <w:rFonts w:ascii="Calibri" w:hAnsi="Calibri"/>
                <w:color w:val="17202A"/>
                <w:sz w:val="18"/>
              </w:rPr>
              <w:t>Aceros Vargas / Carlos, Julian, Harlison</w:t>
            </w:r>
          </w:p>
        </w:tc>
      </w:tr>
    </w:tbl>
    <w:p>
      <w:pPr>
        <w:spacing w:after="20"/>
      </w:pPr>
    </w:p>
    <w:p>
      <w:pPr>
        <w:spacing w:before="60" w:after="60"/>
      </w:pPr>
      <w:r>
        <w:rPr>
          <w:rFonts w:ascii="Calibri" w:hAnsi="Calibri"/>
          <w:b/>
          <w:color w:val="008C8C"/>
          <w:sz w:val="23"/>
        </w:rPr>
        <w:t>Participantes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8E0E7"/>
          <w:left w:val="single" w:sz="4" w:space="0" w:color="D8E0E7"/>
          <w:bottom w:val="single" w:sz="4" w:space="0" w:color="D8E0E7"/>
          <w:right w:val="single" w:sz="4" w:space="0" w:color="D8E0E7"/>
          <w:insideH w:val="single" w:sz="4" w:space="0" w:color="D8E0E7"/>
          <w:insideV w:val="single" w:sz="4" w:space="0" w:color="D8E0E7"/>
        </w:tblBorders>
      </w:tblPr>
      <w:tblGrid>
        <w:gridCol w:w="3456"/>
        <w:gridCol w:w="3456"/>
        <w:gridCol w:w="3456"/>
      </w:tblGrid>
      <w:tr>
        <w:tc>
          <w:tcPr>
            <w:tcW w:type="dxa" w:w="3456"/>
            <w:shd w:fill="E7F0FF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202A"/>
                <w:sz w:val="18"/>
              </w:rPr>
              <w:t>Nombre</w:t>
            </w:r>
          </w:p>
        </w:tc>
        <w:tc>
          <w:tcPr>
            <w:tcW w:type="dxa" w:w="3456"/>
            <w:shd w:fill="E7F0FF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202A"/>
                <w:sz w:val="18"/>
              </w:rPr>
              <w:t>Rol</w:t>
            </w:r>
          </w:p>
        </w:tc>
        <w:tc>
          <w:tcPr>
            <w:tcW w:type="dxa" w:w="3456"/>
            <w:shd w:fill="E7F0FF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202A"/>
                <w:sz w:val="18"/>
              </w:rPr>
              <w:t>Tiempo</w:t>
            </w:r>
          </w:p>
        </w:tc>
      </w:tr>
      <w:tr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Leonardo Capponi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Organizador / S2F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1h 28m 52s</w:t>
            </w:r>
          </w:p>
        </w:tc>
      </w:tr>
      <w:tr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Alfredo Alan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Presenter / S2F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1h 29m 42s</w:t>
            </w:r>
          </w:p>
        </w:tc>
      </w:tr>
      <w:tr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Marko Mileta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Presenter / S2F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1h 28m 22s</w:t>
            </w:r>
          </w:p>
        </w:tc>
      </w:tr>
      <w:tr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Carlos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Potencial aliado / Aceros Vargas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1h 26m 1s</w:t>
            </w:r>
          </w:p>
        </w:tc>
      </w:tr>
      <w:tr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Julian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Agroanalitica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1h 23m 55s</w:t>
            </w:r>
          </w:p>
        </w:tc>
      </w:tr>
      <w:tr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Harlison Torres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Operacion</w:t>
            </w:r>
          </w:p>
        </w:tc>
        <w:tc>
          <w:tcPr>
            <w:tcW w:type="dxa" w:w="3456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7202A"/>
                <w:sz w:val="18"/>
              </w:rPr>
              <w:t>1h 3m 44s</w:t>
            </w:r>
          </w:p>
        </w:tc>
      </w:tr>
    </w:tbl>
    <w:p>
      <w:pPr>
        <w:spacing w:before="140" w:after="60"/>
      </w:pPr>
      <w:r>
        <w:rPr>
          <w:rFonts w:ascii="Calibri" w:hAnsi="Calibri"/>
          <w:b/>
          <w:color w:val="008C8C"/>
          <w:sz w:val="23"/>
        </w:rPr>
        <w:t>Idea central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S2F encaja como socio local de diseno, fabricacion, integracion, soporte y capacitacion para soluciones UAS orientadas a analitica agroindustrial.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La contraparte aporta contexto comercial, necesidades de campo, casos agroindustriales y posible apoyo logistico para componentes.</w:t>
      </w:r>
    </w:p>
    <w:p>
      <w:pPr>
        <w:spacing w:before="140" w:after="60"/>
      </w:pPr>
      <w:r>
        <w:rPr>
          <w:rFonts w:ascii="Calibri" w:hAnsi="Calibri"/>
          <w:b/>
          <w:color w:val="008C8C"/>
          <w:sz w:val="23"/>
        </w:rPr>
        <w:t>Puntos mas importantes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S2F no debe posicionarse como proveedor de analitica ni operador de campo; ese rol lo cubre la contraparte.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El primer alcance debe enfocarse en adquisicion de datos y analitica, no en fumigacion.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Wintra funciona como referencia practica para peso, sensores, autonomia, operacion y costo.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Quedan dos rutas tecnicas por comparar: plataforma cercana a 5 kg o VTOL modular de hasta 24.8 kg.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La experiencia de campo debe tender a plug and play para administradores de finca y usuarios no especializados.</w:t>
      </w:r>
    </w:p>
    <w:p>
      <w:pPr>
        <w:spacing w:before="140" w:after="60"/>
      </w:pPr>
      <w:r>
        <w:rPr>
          <w:rFonts w:ascii="Calibri" w:hAnsi="Calibri"/>
          <w:b/>
          <w:color w:val="008C8C"/>
          <w:sz w:val="23"/>
        </w:rPr>
        <w:t>Oportunidades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Aceros Vargas puede apoyar la ruta logistica de importacion de componentes dentro de sus contenedores.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La combinacion S2F + plataforma de analitica del aliado puede convertirse en un paquete llave en mano para empresas ancla y productores.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La diferenciacion principal es soporte local, telemetria transparente, personalizacion, modularidad y acompanamiento regulatorio.</w:t>
      </w:r>
    </w:p>
    <w:p>
      <w:pPr>
        <w:spacing w:before="140" w:after="60"/>
      </w:pPr>
      <w:r>
        <w:rPr>
          <w:rFonts w:ascii="Calibri" w:hAnsi="Calibri"/>
          <w:b/>
          <w:color w:val="008C8C"/>
          <w:sz w:val="23"/>
        </w:rPr>
        <w:t>Proximos pasos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Solicitar RFQ o dibujo libre: caso de uso, cultivo, sensor, payload, autonomia, operacion, integracion y volumen inicial.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Preparar mapa de desarrollo con riesgos, tiempos, entregables y presupuesto preliminar.</w:t>
      </w:r>
    </w:p>
    <w:p>
      <w:pPr>
        <w:spacing w:after="40"/>
        <w:ind w:left="259" w:hanging="144"/>
      </w:pPr>
      <w:r>
        <w:rPr>
          <w:rFonts w:ascii="Calibri" w:hAnsi="Calibri"/>
          <w:color w:val="17202A"/>
          <w:sz w:val="18"/>
        </w:rPr>
        <w:t>? Separar conversacion logistica con Carlos para componentes y abastecimiento.</w:t>
      </w:r>
    </w:p>
    <w:sectPr w:rsidR="00FC693F" w:rsidRPr="0006063C" w:rsidSect="00034616">
      <w:pgSz w:w="12240" w:h="15840"/>
      <w:pgMar w:top="792" w:right="936" w:bottom="792" w:left="936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